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TEACHING PLAN for Academic Year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 xml:space="preserve"> 2020-</w:t>
      </w:r>
      <w:r>
        <w:rPr>
          <w:rFonts w:ascii="Times New Roman" w:hAnsi="Times New Roman" w:cs="Times New Roman"/>
          <w:b/>
          <w:bCs/>
          <w:sz w:val="24"/>
          <w:szCs w:val="24"/>
        </w:rPr>
        <w:t>2021</w:t>
      </w:r>
    </w:p>
    <w:p>
      <w:pPr>
        <w:spacing w:line="360" w:lineRule="auto"/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PAPER D2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 xml:space="preserve">-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LITERARY CRITICISM AND THEORY– 1</w:t>
      </w:r>
    </w:p>
    <w:p>
      <w:pPr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SEMESTER: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 xml:space="preserve"> V</w:t>
      </w:r>
    </w:p>
    <w:p>
      <w:pPr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SESSION: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 xml:space="preserve"> 2020-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2021</w:t>
      </w:r>
    </w:p>
    <w:p>
      <w:pPr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TEACHER NAME: ANURADHA SROHA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</w:p>
    <w:p>
      <w:pPr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SYLLABUS</w:t>
      </w:r>
    </w:p>
    <w:p>
      <w:pPr>
        <w:numPr>
          <w:ilvl w:val="0"/>
          <w:numId w:val="1"/>
        </w:numPr>
        <w:tabs>
          <w:tab w:val="clear" w:pos="420"/>
        </w:tabs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Understanding Literary Criticism and Theory</w:t>
      </w:r>
    </w:p>
    <w:p>
      <w:pPr>
        <w:numPr>
          <w:ilvl w:val="0"/>
          <w:numId w:val="1"/>
        </w:numPr>
        <w:tabs>
          <w:tab w:val="clear" w:pos="420"/>
        </w:tabs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Relevance of Aesthetic theory in Literature namely, </w:t>
      </w:r>
      <w:r>
        <w:rPr>
          <w:rFonts w:hint="default" w:ascii="Times New Roman" w:hAnsi="Times New Roman" w:cs="Times New Roman"/>
          <w:sz w:val="24"/>
          <w:szCs w:val="24"/>
        </w:rPr>
        <w:t>Speech vs Writing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hint="default" w:ascii="Times New Roman" w:hAnsi="Times New Roman" w:cs="Times New Roman"/>
          <w:sz w:val="24"/>
          <w:szCs w:val="24"/>
        </w:rPr>
        <w:t>Sublime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hint="default" w:ascii="Times New Roman" w:hAnsi="Times New Roman" w:cs="Times New Roman"/>
          <w:sz w:val="24"/>
          <w:szCs w:val="24"/>
        </w:rPr>
        <w:t>Taste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, and </w:t>
      </w:r>
      <w:r>
        <w:rPr>
          <w:rFonts w:hint="default" w:ascii="Times New Roman" w:hAnsi="Times New Roman" w:cs="Times New Roman"/>
          <w:sz w:val="24"/>
          <w:szCs w:val="24"/>
        </w:rPr>
        <w:t>Beautiful</w:t>
      </w:r>
    </w:p>
    <w:p>
      <w:pPr>
        <w:numPr>
          <w:ilvl w:val="0"/>
          <w:numId w:val="1"/>
        </w:numPr>
        <w:tabs>
          <w:tab w:val="clear" w:pos="420"/>
        </w:tabs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Understanding philosophical debates in </w:t>
      </w:r>
      <w:r>
        <w:rPr>
          <w:rFonts w:hint="default" w:ascii="Times New Roman" w:hAnsi="Times New Roman" w:cs="Times New Roman"/>
          <w:sz w:val="24"/>
          <w:szCs w:val="24"/>
        </w:rPr>
        <w:t>Classical Greco-Roman tradition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hint="default" w:ascii="Times New Roman" w:hAnsi="Times New Roman" w:cs="Times New Roman"/>
          <w:sz w:val="24"/>
          <w:szCs w:val="24"/>
        </w:rPr>
        <w:t>British Neoclassicism, German Romanticism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hint="default" w:ascii="Times New Roman" w:hAnsi="Times New Roman" w:cs="Times New Roman"/>
          <w:sz w:val="24"/>
          <w:szCs w:val="24"/>
        </w:rPr>
        <w:t>Nineteenth Century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hint="default" w:ascii="Times New Roman" w:hAnsi="Times New Roman" w:cs="Times New Roman"/>
          <w:sz w:val="24"/>
          <w:szCs w:val="24"/>
        </w:rPr>
        <w:t>New Criticism and Russia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n </w:t>
      </w:r>
      <w:r>
        <w:rPr>
          <w:rFonts w:hint="default" w:ascii="Times New Roman" w:hAnsi="Times New Roman" w:cs="Times New Roman"/>
          <w:sz w:val="24"/>
          <w:szCs w:val="24"/>
        </w:rPr>
        <w:t>Formalism</w:t>
      </w:r>
    </w:p>
    <w:p>
      <w:pPr>
        <w:numPr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sz w:val="24"/>
          <w:szCs w:val="24"/>
        </w:rPr>
      </w:pP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COURSE DESCRIPTION</w:t>
      </w:r>
      <w:bookmarkStart w:id="0" w:name="_GoBack"/>
      <w:bookmarkEnd w:id="0"/>
    </w:p>
    <w:p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To </w:t>
      </w:r>
      <w:r>
        <w:rPr>
          <w:rFonts w:hint="default" w:ascii="Times New Roman" w:hAnsi="Times New Roman" w:cs="Times New Roman"/>
          <w:sz w:val="24"/>
          <w:szCs w:val="24"/>
        </w:rPr>
        <w:t>expose students to the various theories of art and representation, and critical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approaches that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emerged in Europe throughout centuries</w:t>
      </w:r>
    </w:p>
    <w:p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T</w:t>
      </w:r>
      <w:r>
        <w:rPr>
          <w:rFonts w:hint="default" w:ascii="Times New Roman" w:hAnsi="Times New Roman" w:cs="Times New Roman"/>
          <w:sz w:val="24"/>
          <w:szCs w:val="24"/>
        </w:rPr>
        <w:t>o examine the evolution of various theoretical and aesthetic concepts across space and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time</w:t>
      </w:r>
    </w:p>
    <w:p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To </w:t>
      </w:r>
      <w:r>
        <w:rPr>
          <w:rFonts w:hint="default" w:ascii="Times New Roman" w:hAnsi="Times New Roman" w:cs="Times New Roman"/>
          <w:sz w:val="24"/>
          <w:szCs w:val="24"/>
        </w:rPr>
        <w:t>pay close attention to the method of argument and establishment of concept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s</w:t>
      </w:r>
    </w:p>
    <w:p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To establish </w:t>
      </w:r>
      <w:r>
        <w:rPr>
          <w:rFonts w:hint="default" w:ascii="Times New Roman" w:hAnsi="Times New Roman" w:cs="Times New Roman"/>
          <w:sz w:val="24"/>
          <w:szCs w:val="24"/>
        </w:rPr>
        <w:t>connections between the theoretical formulations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and </w:t>
      </w:r>
      <w:r>
        <w:rPr>
          <w:rFonts w:hint="default" w:ascii="Times New Roman" w:hAnsi="Times New Roman" w:cs="Times New Roman"/>
          <w:sz w:val="24"/>
          <w:szCs w:val="24"/>
        </w:rPr>
        <w:t>understanding of literary texts.</w:t>
      </w:r>
    </w:p>
    <w:p>
      <w:pPr>
        <w:tabs>
          <w:tab w:val="left" w:pos="420"/>
        </w:tabs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tabs>
          <w:tab w:val="left" w:pos="420"/>
        </w:tabs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TEACHING TIME (No. Of Weeks)</w:t>
      </w:r>
    </w:p>
    <w:p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Week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1- </w:t>
      </w:r>
      <w:r>
        <w:rPr>
          <w:rFonts w:hint="default" w:ascii="Times New Roman" w:hAnsi="Times New Roman" w:cs="Times New Roman"/>
          <w:sz w:val="24"/>
          <w:szCs w:val="24"/>
        </w:rPr>
        <w:t>Introduction to Paper D2: Literary Theory and Criticism - 1</w:t>
      </w:r>
    </w:p>
    <w:p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Week 2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- </w:t>
      </w:r>
      <w:r>
        <w:rPr>
          <w:rFonts w:hint="default" w:ascii="Times New Roman" w:hAnsi="Times New Roman" w:cs="Times New Roman"/>
          <w:sz w:val="24"/>
          <w:szCs w:val="24"/>
        </w:rPr>
        <w:t xml:space="preserve">Unit 1 -- Greek theory: Plato 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Phaedrus</w:t>
      </w:r>
    </w:p>
    <w:p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i w:val="0"/>
          <w:iCs w:val="0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Week 3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- </w:t>
      </w:r>
      <w:r>
        <w:rPr>
          <w:rFonts w:hint="default" w:ascii="Times New Roman" w:hAnsi="Times New Roman" w:cs="Times New Roman"/>
          <w:sz w:val="24"/>
          <w:szCs w:val="24"/>
        </w:rPr>
        <w:t xml:space="preserve">Unit 1 -- Roman theory: Longinus </w:t>
      </w:r>
      <w:r>
        <w:rPr>
          <w:rFonts w:hint="default" w:ascii="Times New Roman" w:hAnsi="Times New Roman" w:cs="Times New Roman"/>
          <w:i w:val="0"/>
          <w:iCs w:val="0"/>
          <w:sz w:val="24"/>
          <w:szCs w:val="24"/>
        </w:rPr>
        <w:t>‘On the Sublime’</w:t>
      </w:r>
    </w:p>
    <w:p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Week 4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- </w:t>
      </w:r>
      <w:r>
        <w:rPr>
          <w:rFonts w:hint="default" w:ascii="Times New Roman" w:hAnsi="Times New Roman" w:cs="Times New Roman"/>
          <w:sz w:val="24"/>
          <w:szCs w:val="24"/>
        </w:rPr>
        <w:t>Unit 2 -- Introduction to Neoclassical and Augustan Critical Theories.</w:t>
      </w:r>
    </w:p>
    <w:p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Week 5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- </w:t>
      </w:r>
      <w:r>
        <w:rPr>
          <w:rFonts w:hint="default" w:ascii="Times New Roman" w:hAnsi="Times New Roman" w:cs="Times New Roman"/>
          <w:sz w:val="24"/>
          <w:szCs w:val="24"/>
        </w:rPr>
        <w:t>Unit 2 -- Hume, ‘Of the Standard of Taste’</w:t>
      </w:r>
    </w:p>
    <w:p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Week 6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- </w:t>
      </w:r>
      <w:r>
        <w:rPr>
          <w:rFonts w:hint="default" w:ascii="Times New Roman" w:hAnsi="Times New Roman" w:cs="Times New Roman"/>
          <w:sz w:val="24"/>
          <w:szCs w:val="24"/>
        </w:rPr>
        <w:t>Unit 2 – Burke, ‘Introduction on Taste’</w:t>
      </w:r>
    </w:p>
    <w:p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Week 7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- </w:t>
      </w:r>
      <w:r>
        <w:rPr>
          <w:rFonts w:hint="default" w:ascii="Times New Roman" w:hAnsi="Times New Roman" w:cs="Times New Roman"/>
          <w:sz w:val="24"/>
          <w:szCs w:val="24"/>
        </w:rPr>
        <w:t>Unit 3 -- Introduction to German enlightenment.</w:t>
      </w:r>
    </w:p>
    <w:p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Week 8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- </w:t>
      </w:r>
      <w:r>
        <w:rPr>
          <w:rFonts w:hint="default" w:ascii="Times New Roman" w:hAnsi="Times New Roman" w:cs="Times New Roman"/>
          <w:sz w:val="24"/>
          <w:szCs w:val="24"/>
        </w:rPr>
        <w:t>Unit 3 – Kant, ‘Analytic of the Beautiful’</w:t>
      </w:r>
    </w:p>
    <w:p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Week 9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- </w:t>
      </w:r>
      <w:r>
        <w:rPr>
          <w:rFonts w:hint="default" w:ascii="Times New Roman" w:hAnsi="Times New Roman" w:cs="Times New Roman"/>
          <w:sz w:val="24"/>
          <w:szCs w:val="24"/>
        </w:rPr>
        <w:t>Unit 3 – Schiller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 xml:space="preserve"> Letters 2, 6 and 9</w:t>
      </w:r>
    </w:p>
    <w:p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Week 10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- </w:t>
      </w:r>
      <w:r>
        <w:rPr>
          <w:rFonts w:hint="default" w:ascii="Times New Roman" w:hAnsi="Times New Roman" w:cs="Times New Roman"/>
          <w:sz w:val="24"/>
          <w:szCs w:val="24"/>
        </w:rPr>
        <w:t>Introduction to 19th Century concepts of art and literature.</w:t>
      </w:r>
    </w:p>
    <w:p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Week 11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- </w:t>
      </w:r>
      <w:r>
        <w:rPr>
          <w:rFonts w:hint="default" w:ascii="Times New Roman" w:hAnsi="Times New Roman" w:cs="Times New Roman"/>
          <w:sz w:val="24"/>
          <w:szCs w:val="24"/>
        </w:rPr>
        <w:t>Unit 4 – Hegel (i) ‘Work of Art as Product of Human Activity’, (ii) ‘The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Kantian Philosophy’, (iii) ‘Imagination Genius and Inspiration’</w:t>
      </w:r>
    </w:p>
    <w:p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Week 12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- </w:t>
      </w:r>
      <w:r>
        <w:rPr>
          <w:rFonts w:hint="default" w:ascii="Times New Roman" w:hAnsi="Times New Roman" w:cs="Times New Roman"/>
          <w:sz w:val="24"/>
          <w:szCs w:val="24"/>
        </w:rPr>
        <w:t>Unit 4 – Nietzsche, ‘What is the Meaning of Ascetic Ideals’, Book III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Sections 1–6</w:t>
      </w:r>
    </w:p>
    <w:p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Week 13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- </w:t>
      </w:r>
      <w:r>
        <w:rPr>
          <w:rFonts w:hint="default" w:ascii="Times New Roman" w:hAnsi="Times New Roman" w:cs="Times New Roman"/>
          <w:sz w:val="24"/>
          <w:szCs w:val="24"/>
        </w:rPr>
        <w:t>New Criticism in the 20th Century: Cleanth Brooks (i) ‘The Language of</w:t>
      </w:r>
    </w:p>
    <w:p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Paradox’, and (ii) ‘Heresy of Paraphrase’</w:t>
      </w:r>
    </w:p>
    <w:p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Week 14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- </w:t>
      </w:r>
      <w:r>
        <w:rPr>
          <w:rFonts w:hint="default" w:ascii="Times New Roman" w:hAnsi="Times New Roman" w:cs="Times New Roman"/>
          <w:sz w:val="24"/>
          <w:szCs w:val="24"/>
        </w:rPr>
        <w:t>Unit 5 -Formalism and its critique: Mikhail Bakhtin, ‘Forms of Time and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of the Chronotope in the Novel’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</w:p>
    <w:p>
      <w:pPr>
        <w:tabs>
          <w:tab w:val="left" w:pos="420"/>
        </w:tabs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UNIT WISE BREAK UP OF SYLLABUS</w:t>
      </w:r>
    </w:p>
    <w:p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Unit 1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- </w:t>
      </w:r>
      <w:r>
        <w:rPr>
          <w:rFonts w:hint="default" w:ascii="Times New Roman" w:hAnsi="Times New Roman" w:cs="Times New Roman"/>
          <w:sz w:val="24"/>
          <w:szCs w:val="24"/>
        </w:rPr>
        <w:t xml:space="preserve">a) Plato, From 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Phaedrus</w:t>
      </w:r>
      <w:r>
        <w:rPr>
          <w:rFonts w:hint="default" w:ascii="Times New Roman" w:hAnsi="Times New Roman" w:cs="Times New Roman"/>
          <w:sz w:val="24"/>
          <w:szCs w:val="24"/>
        </w:rPr>
        <w:t>, trans. Robin Waterfield (New York: OUP, 2002)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pp. 68-75.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b) Longinus, From, ‘On the Sublime’, in 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The Norton Anthology of Theory and</w:t>
      </w:r>
      <w:r>
        <w:rPr>
          <w:rFonts w:hint="default"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Criticism</w:t>
      </w:r>
      <w:r>
        <w:rPr>
          <w:rFonts w:hint="default" w:ascii="Times New Roman" w:hAnsi="Times New Roman" w:cs="Times New Roman"/>
          <w:sz w:val="24"/>
          <w:szCs w:val="24"/>
        </w:rPr>
        <w:t>, ed. Vincent B. Leitch (New York: W. W. Norton &amp; Co., 2001) pp. 138-54.</w:t>
      </w:r>
    </w:p>
    <w:p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Unit 2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- </w:t>
      </w:r>
      <w:r>
        <w:rPr>
          <w:rFonts w:hint="default" w:ascii="Times New Roman" w:hAnsi="Times New Roman" w:cs="Times New Roman"/>
          <w:sz w:val="24"/>
          <w:szCs w:val="24"/>
        </w:rPr>
        <w:t>a) David Hume, ‘Of the Standard of Taste’, from, ‘Four Dissertations’, in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The Norton</w:t>
      </w:r>
      <w:r>
        <w:rPr>
          <w:rFonts w:hint="default"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Anthology of Theory and Criticism</w:t>
      </w:r>
      <w:r>
        <w:rPr>
          <w:rFonts w:hint="default" w:ascii="Times New Roman" w:hAnsi="Times New Roman" w:cs="Times New Roman"/>
          <w:sz w:val="24"/>
          <w:szCs w:val="24"/>
        </w:rPr>
        <w:t>, ed. Vincent Leitch (New York: W. W. Norton &amp; Co.,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2001) pp. 486-99.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b) Edmund Burke, ‘Introduction on Taste’, from Part II and Part III, in 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A</w:t>
      </w:r>
      <w:r>
        <w:rPr>
          <w:rFonts w:hint="default"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Philosophical Enquiry into the Origin of Our Ideas of the Sublime and Beautiful</w:t>
      </w:r>
      <w:r>
        <w:rPr>
          <w:rFonts w:hint="default" w:ascii="Times New Roman" w:hAnsi="Times New Roman" w:cs="Times New Roman"/>
          <w:sz w:val="24"/>
          <w:szCs w:val="24"/>
        </w:rPr>
        <w:t xml:space="preserve"> (UK: OUP,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1990) pp. 11-26 53-71 83-105.</w:t>
      </w:r>
    </w:p>
    <w:p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Unit 3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- </w:t>
      </w:r>
      <w:r>
        <w:rPr>
          <w:rFonts w:hint="default" w:ascii="Times New Roman" w:hAnsi="Times New Roman" w:cs="Times New Roman"/>
          <w:sz w:val="24"/>
          <w:szCs w:val="24"/>
        </w:rPr>
        <w:t xml:space="preserve">a) Immanuel Kant, ‘Analytic of the Beautiful’, trans. Paul Guyer, in 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The Critique of</w:t>
      </w:r>
      <w:r>
        <w:rPr>
          <w:rFonts w:hint="default"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Judgment</w:t>
      </w:r>
      <w:r>
        <w:rPr>
          <w:rFonts w:hint="default" w:ascii="Times New Roman" w:hAnsi="Times New Roman" w:cs="Times New Roman"/>
          <w:sz w:val="24"/>
          <w:szCs w:val="24"/>
        </w:rPr>
        <w:t xml:space="preserve"> (Cambridge: Cambridge University Press, 2000) 89-127.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b)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Friedrich Schiller, Letters 2, 6, and 9, trans. Reginald Snell, in 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Letters on the</w:t>
      </w:r>
      <w:r>
        <w:rPr>
          <w:rFonts w:hint="default"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Aesthetic Education of Man</w:t>
      </w:r>
      <w:r>
        <w:rPr>
          <w:rFonts w:hint="default" w:ascii="Times New Roman" w:hAnsi="Times New Roman" w:cs="Times New Roman"/>
          <w:sz w:val="24"/>
          <w:szCs w:val="24"/>
        </w:rPr>
        <w:t xml:space="preserve"> (UK: Dover Publications, 2004) pp. 46-50, 69-83, 93-100.</w:t>
      </w:r>
    </w:p>
    <w:p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Unit 4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- </w:t>
      </w:r>
      <w:r>
        <w:rPr>
          <w:rFonts w:hint="default" w:ascii="Times New Roman" w:hAnsi="Times New Roman" w:cs="Times New Roman"/>
          <w:sz w:val="24"/>
          <w:szCs w:val="24"/>
        </w:rPr>
        <w:t>a) G. W. F. Hegel, (i) ‘Work of Art as Product of Human Activity’; (ii) ‘The Kantian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Philosophy’; (iii) ‘Imagination Genius and Inspiration’, trans. T. M. Knox, in 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Aesthetics:</w:t>
      </w:r>
      <w:r>
        <w:rPr>
          <w:rFonts w:hint="default"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Lectures on Fine Art Vol. 1</w:t>
      </w:r>
      <w:r>
        <w:rPr>
          <w:rFonts w:hint="default" w:ascii="Times New Roman" w:hAnsi="Times New Roman" w:cs="Times New Roman"/>
          <w:sz w:val="24"/>
          <w:szCs w:val="24"/>
        </w:rPr>
        <w:t xml:space="preserve"> (Oxford: Clarendon Press, 1988) pp. 25-32, 56-61, 281-88.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b) Friedrich Nietzsche, ‘What is the Meaning of Ascetic Ideals’, Book III Sections 1–6,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trans.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Walter Kaufmann and John Hollingdale, in 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On the Genealogy of Morals</w:t>
      </w:r>
      <w:r>
        <w:rPr>
          <w:rFonts w:hint="default" w:ascii="Times New Roman" w:hAnsi="Times New Roman" w:cs="Times New Roman"/>
          <w:sz w:val="24"/>
          <w:szCs w:val="24"/>
        </w:rPr>
        <w:t xml:space="preserve"> (New York: Vintage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Books 1967) pp. 1-6.</w:t>
      </w:r>
    </w:p>
    <w:p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Unit 5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- </w:t>
      </w:r>
      <w:r>
        <w:rPr>
          <w:rFonts w:hint="default" w:ascii="Times New Roman" w:hAnsi="Times New Roman" w:cs="Times New Roman"/>
          <w:sz w:val="24"/>
          <w:szCs w:val="24"/>
        </w:rPr>
        <w:t>a) Mikhail Bakhtin, From, ‘Forms of Time and of the Chronotope in the Novel’, trans.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Caryl Emerson Michael Holquist, in 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The Dialogic Imagination: Four Essays</w:t>
      </w:r>
      <w:r>
        <w:rPr>
          <w:rFonts w:hint="default" w:ascii="Times New Roman" w:hAnsi="Times New Roman" w:cs="Times New Roman"/>
          <w:sz w:val="24"/>
          <w:szCs w:val="24"/>
        </w:rPr>
        <w:t xml:space="preserve"> (Texas: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University of Texas Press, 1981) pp. 84-110, 243-58.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b) Cleanth Brooks, (i) ‘The Language of Paradox’, and (ii) ‘Heresy of Paraphrase’, in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The Well-Wrought Urn</w:t>
      </w:r>
      <w:r>
        <w:rPr>
          <w:rFonts w:hint="default" w:ascii="Times New Roman" w:hAnsi="Times New Roman" w:cs="Times New Roman"/>
          <w:sz w:val="24"/>
          <w:szCs w:val="24"/>
        </w:rPr>
        <w:t xml:space="preserve"> (New York: Harvest Books, 1947) pp. 12-29, 185-205.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tabs>
          <w:tab w:val="left" w:pos="420"/>
        </w:tabs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ASSESSMENT </w:t>
      </w:r>
    </w:p>
    <w:p>
      <w:pPr>
        <w:pStyle w:val="4"/>
        <w:numPr>
          <w:ilvl w:val="0"/>
          <w:numId w:val="2"/>
        </w:numPr>
        <w:tabs>
          <w:tab w:val="left" w:pos="420"/>
        </w:tabs>
        <w:spacing w:after="0" w:line="360" w:lineRule="auto"/>
        <w:rPr>
          <w:rFonts w:hint="default" w:ascii="Times New Roman" w:hAnsi="Times New Roman" w:eastAsia="SimSun" w:cs="Times New Roman"/>
          <w:b/>
          <w:bCs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SimSun" w:cs="Times New Roman"/>
          <w:sz w:val="24"/>
          <w:szCs w:val="24"/>
          <w:lang w:val="en-US" w:eastAsia="zh-CN" w:bidi="ar-SA"/>
        </w:rPr>
        <w:t>One Internal Assessment of 25 Marks as per university guidelines</w:t>
      </w:r>
    </w:p>
    <w:p>
      <w:pPr>
        <w:pStyle w:val="4"/>
        <w:numPr>
          <w:ilvl w:val="0"/>
          <w:numId w:val="2"/>
        </w:numPr>
        <w:tabs>
          <w:tab w:val="left" w:pos="420"/>
        </w:tabs>
        <w:spacing w:after="0" w:line="360" w:lineRule="auto"/>
        <w:rPr>
          <w:rFonts w:hint="default" w:ascii="Times New Roman" w:hAnsi="Times New Roman" w:eastAsia="SimSun" w:cs="Times New Roman"/>
          <w:b/>
          <w:bCs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SimSun" w:cs="Times New Roman"/>
          <w:sz w:val="24"/>
          <w:szCs w:val="24"/>
          <w:lang w:val="en-US" w:eastAsia="zh-CN" w:bidi="ar-SA"/>
        </w:rPr>
        <w:t>Students will be given</w:t>
      </w:r>
      <w:r>
        <w:rPr>
          <w:rFonts w:hint="default" w:ascii="Times New Roman" w:hAnsi="Times New Roman" w:eastAsia="SimSun" w:cs="Times New Roman"/>
          <w:sz w:val="24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SimSun" w:cs="Times New Roman"/>
          <w:sz w:val="24"/>
          <w:szCs w:val="24"/>
          <w:lang w:val="en-US" w:eastAsia="zh-CN" w:bidi="ar-SA"/>
        </w:rPr>
        <w:t xml:space="preserve">long </w:t>
      </w:r>
      <w:r>
        <w:rPr>
          <w:rFonts w:hint="default" w:ascii="Times New Roman" w:hAnsi="Times New Roman" w:eastAsia="SimSun" w:cs="Times New Roman"/>
          <w:sz w:val="24"/>
          <w:szCs w:val="24"/>
          <w:lang w:val="en-US" w:eastAsia="zh-CN" w:bidi="ar-SA"/>
        </w:rPr>
        <w:t xml:space="preserve">essay-length </w:t>
      </w:r>
      <w:r>
        <w:rPr>
          <w:rFonts w:hint="default" w:ascii="Times New Roman" w:hAnsi="Times New Roman" w:eastAsia="SimSun" w:cs="Times New Roman"/>
          <w:sz w:val="24"/>
          <w:szCs w:val="24"/>
          <w:lang w:val="en-US" w:eastAsia="zh-CN" w:bidi="ar-SA"/>
        </w:rPr>
        <w:t>questions.</w:t>
      </w:r>
    </w:p>
    <w:p>
      <w:pPr>
        <w:pStyle w:val="4"/>
        <w:numPr>
          <w:ilvl w:val="0"/>
          <w:numId w:val="2"/>
        </w:numPr>
        <w:tabs>
          <w:tab w:val="left" w:pos="420"/>
        </w:tabs>
        <w:spacing w:after="0" w:line="360" w:lineRule="auto"/>
        <w:rPr>
          <w:rFonts w:hint="default" w:ascii="Times New Roman" w:hAnsi="Times New Roman" w:eastAsia="SimSun" w:cs="Times New Roman"/>
          <w:b/>
          <w:bCs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SimSun" w:cs="Times New Roman"/>
          <w:sz w:val="24"/>
          <w:szCs w:val="24"/>
          <w:lang w:val="en-US" w:eastAsia="zh-CN" w:bidi="ar-SA"/>
        </w:rPr>
        <w:t xml:space="preserve">The students are assessed on their analytical, interpretative, and writing skills. </w:t>
      </w:r>
    </w:p>
    <w:p>
      <w:pPr>
        <w:pStyle w:val="4"/>
        <w:numPr>
          <w:ilvl w:val="0"/>
          <w:numId w:val="2"/>
        </w:numPr>
        <w:tabs>
          <w:tab w:val="left" w:pos="420"/>
        </w:tabs>
        <w:spacing w:after="0" w:line="360" w:lineRule="auto"/>
        <w:rPr>
          <w:rFonts w:hint="default" w:ascii="Times New Roman" w:hAnsi="Times New Roman" w:eastAsia="SimSun" w:cs="Times New Roman"/>
          <w:b/>
          <w:bCs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SimSun" w:cs="Times New Roman"/>
          <w:sz w:val="24"/>
          <w:szCs w:val="24"/>
          <w:lang w:val="en-US" w:eastAsia="zh-CN" w:bidi="ar-SA"/>
        </w:rPr>
        <w:t>Final Examination 75 marks</w:t>
      </w:r>
    </w:p>
    <w:p>
      <w:pPr>
        <w:pStyle w:val="4"/>
        <w:numPr>
          <w:numId w:val="0"/>
        </w:numPr>
        <w:tabs>
          <w:tab w:val="left" w:pos="420"/>
        </w:tabs>
        <w:spacing w:after="0" w:line="360" w:lineRule="auto"/>
        <w:contextualSpacing/>
        <w:rPr>
          <w:rFonts w:hint="default" w:ascii="Times New Roman" w:hAnsi="Times New Roman" w:eastAsia="SimSun" w:cs="Times New Roman"/>
          <w:sz w:val="24"/>
          <w:szCs w:val="24"/>
          <w:lang w:val="en-US" w:eastAsia="zh-CN" w:bidi="ar-SA"/>
        </w:rPr>
      </w:pPr>
    </w:p>
    <w:p>
      <w:pPr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Essential reading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All texts are essential readings</w:t>
      </w:r>
    </w:p>
    <w:p>
      <w:pPr>
        <w:pStyle w:val="4"/>
        <w:numPr>
          <w:numId w:val="0"/>
        </w:numPr>
        <w:tabs>
          <w:tab w:val="left" w:pos="420"/>
        </w:tabs>
        <w:spacing w:after="0" w:line="360" w:lineRule="auto"/>
        <w:contextualSpacing/>
        <w:rPr>
          <w:rFonts w:hint="default" w:ascii="Times New Roman" w:hAnsi="Times New Roman" w:eastAsia="SimSun" w:cs="Times New Roman"/>
          <w:sz w:val="24"/>
          <w:szCs w:val="24"/>
          <w:lang w:val="en-US" w:eastAsia="zh-CN" w:bidi="ar-SA"/>
        </w:rPr>
      </w:pP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BF3F84"/>
    <w:multiLevelType w:val="multilevel"/>
    <w:tmpl w:val="08BF3F84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503E6997"/>
    <w:multiLevelType w:val="singleLevel"/>
    <w:tmpl w:val="503E6997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56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496559"/>
    <w:rsid w:val="31496559"/>
    <w:rsid w:val="4F705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Office_11.2.0.10463_F1E327BC-269C-435d-A152-05C5408002CA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2022-02-13T16:57:00Z</dcterms:created>
  <dc:creator>WPS_1610219148</dc:creator>
  <cp:lastModifiedBy>WPS_1610219148</cp:lastModifiedBy>
  <dcterms:modified xsi:type="dcterms:W3CDTF">2022-02-13T17:44:25Z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1033-11.2.0.10463</vt:lpwstr>
  </property>
  <property fmtid="{D5CDD505-2E9C-101B-9397-08002B2CF9AE}" pid="3" name="ICV">
    <vt:lpwstr>3B89756D075F47EE9AF4E1C087035EB5</vt:lpwstr>
  </property>
</Properties>
</file>